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r>
        <w:rPr>
          <w:rFonts w:hint="eastAsia" w:ascii="Arial" w:hAnsi="Arial" w:cs="Arial"/>
          <w:b/>
          <w:sz w:val="24"/>
          <w:szCs w:val="24"/>
        </w:rPr>
        <w:t>R4-2</w:t>
      </w:r>
      <w:r>
        <w:rPr>
          <w:rFonts w:hint="eastAsia" w:ascii="Arial" w:hAnsi="Arial" w:cs="Arial"/>
          <w:b/>
          <w:sz w:val="24"/>
          <w:szCs w:val="24"/>
          <w:lang w:val="en-US" w:eastAsia="zh-CN"/>
        </w:rPr>
        <w:t>500701</w:t>
      </w:r>
      <w:r>
        <w:rPr>
          <w:rFonts w:hint="eastAsia" w:ascii="Arial" w:hAnsi="Arial" w:cs="Arial"/>
          <w:b/>
          <w:sz w:val="24"/>
          <w:szCs w:val="24"/>
        </w:rPr>
        <w:t xml:space="preserve">  </w:t>
      </w:r>
      <w:bookmarkEnd w:id="1"/>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Athens, GR, 17th – 21st February,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5.23.1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 xml:space="preserve">Discussion on mobility performance part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spacing w:before="0" w:beforeLines="0" w:after="0" w:afterLines="0"/>
        <w:ind w:left="510" w:hanging="510"/>
      </w:pPr>
      <w:r>
        <w:t>Introduction</w:t>
      </w:r>
    </w:p>
    <w:p>
      <w:pPr>
        <w:rPr>
          <w:rStyle w:val="105"/>
          <w:color w:val="000000"/>
          <w:shd w:val="clear" w:color="auto" w:fill="FFFFFF"/>
        </w:rPr>
      </w:pPr>
      <w:r>
        <w:rPr>
          <w:rStyle w:val="105"/>
          <w:color w:val="000000"/>
          <w:shd w:val="clear" w:color="auto" w:fill="FFFFFF"/>
        </w:rPr>
        <w:t xml:space="preserve">In this contribution we discuss the remaining open issues for </w:t>
      </w:r>
      <w:r>
        <w:rPr>
          <w:rStyle w:val="105"/>
          <w:rFonts w:hint="eastAsia"/>
          <w:color w:val="000000"/>
          <w:shd w:val="clear" w:color="auto" w:fill="FFFFFF"/>
          <w:lang w:val="en-US" w:eastAsia="zh-CN"/>
        </w:rPr>
        <w:t>mobility</w:t>
      </w:r>
      <w:r>
        <w:rPr>
          <w:rStyle w:val="105"/>
          <w:color w:val="000000"/>
          <w:shd w:val="clear" w:color="auto" w:fill="FFFFFF"/>
        </w:rPr>
        <w:t xml:space="preserve"> </w:t>
      </w:r>
      <w:r>
        <w:rPr>
          <w:rStyle w:val="105"/>
          <w:rFonts w:hint="eastAsia"/>
          <w:color w:val="000000"/>
          <w:shd w:val="clear" w:color="auto" w:fill="FFFFFF"/>
          <w:lang w:val="en-US" w:eastAsia="zh-CN"/>
        </w:rPr>
        <w:t xml:space="preserve">performance part </w:t>
      </w:r>
      <w:r>
        <w:rPr>
          <w:rStyle w:val="105"/>
          <w:color w:val="000000"/>
          <w:shd w:val="clear" w:color="auto" w:fill="FFFFFF"/>
        </w:rPr>
        <w:t>requirements based on the RAN4#11</w:t>
      </w:r>
      <w:r>
        <w:rPr>
          <w:rStyle w:val="105"/>
          <w:rFonts w:hint="eastAsia"/>
          <w:color w:val="000000"/>
          <w:shd w:val="clear" w:color="auto" w:fill="FFFFFF"/>
          <w:lang w:val="en-US" w:eastAsia="zh-CN"/>
        </w:rPr>
        <w:t>3</w:t>
      </w:r>
      <w:r>
        <w:rPr>
          <w:rStyle w:val="105"/>
          <w:color w:val="000000"/>
          <w:shd w:val="clear" w:color="auto" w:fill="FFFFFF"/>
        </w:rPr>
        <w:t xml:space="preserve"> way forward [1].</w:t>
      </w:r>
    </w:p>
    <w:p>
      <w:pPr>
        <w:pStyle w:val="58"/>
        <w:tabs>
          <w:tab w:val="left" w:pos="567"/>
          <w:tab w:val="clear" w:pos="1985"/>
        </w:tabs>
        <w:adjustRightInd w:val="0"/>
        <w:spacing w:before="157" w:beforeLines="50" w:after="157" w:afterLines="50"/>
        <w:ind w:left="510" w:hanging="510"/>
        <w:rPr>
          <w:rFonts w:hint="eastAsia"/>
          <w:lang w:val="en-US" w:eastAsia="zh-CN"/>
        </w:rPr>
      </w:pPr>
      <w:r>
        <w:rPr>
          <w:rFonts w:hint="eastAsia"/>
        </w:rPr>
        <w:t>Discussion</w:t>
      </w:r>
    </w:p>
    <w:p>
      <w:pPr>
        <w:keepNext w:val="0"/>
        <w:keepLines w:val="0"/>
        <w:adjustRightInd/>
        <w:spacing w:after="157" w:afterLines="50"/>
        <w:rPr>
          <w:rFonts w:hint="eastAsia"/>
          <w:bCs w:val="0"/>
          <w:iCs w:val="0"/>
          <w:sz w:val="21"/>
          <w:szCs w:val="21"/>
          <w:lang w:val="en-US" w:eastAsia="zh-CN"/>
        </w:rPr>
      </w:pPr>
      <w:r>
        <w:rPr>
          <w:rFonts w:hint="eastAsia"/>
          <w:bCs w:val="0"/>
          <w:iCs w:val="0"/>
          <w:sz w:val="21"/>
          <w:szCs w:val="21"/>
          <w:lang w:val="en-US" w:eastAsia="zh-CN"/>
        </w:rPr>
        <w:t xml:space="preserve">In RAN4#113 meeting, there was an issue that defined more test case for improvement on SCell/SCG setup delay and no consensus.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9855" w:type="dxa"/>
          </w:tcPr>
          <w:p>
            <w:pPr>
              <w:spacing w:after="120" w:afterLines="50"/>
              <w:rPr>
                <w:b/>
                <w:u w:val="single"/>
                <w:lang w:eastAsia="zh-CN"/>
              </w:rPr>
            </w:pPr>
            <w:r>
              <w:rPr>
                <w:b/>
                <w:u w:val="single"/>
              </w:rPr>
              <w:t xml:space="preserve">Issue 3-2-1: </w:t>
            </w:r>
            <w:r>
              <w:rPr>
                <w:b/>
                <w:color w:val="000000" w:themeColor="text1"/>
                <w:u w:val="single"/>
                <w:lang w:val="en-US" w:eastAsia="ko-KR"/>
                <w14:textFill>
                  <w14:solidFill>
                    <w14:schemeClr w14:val="tx1"/>
                  </w14:solidFill>
                </w14:textFill>
              </w:rPr>
              <w:t>More test for Improvement on SCell/SCG setup delay?</w:t>
            </w:r>
          </w:p>
          <w:p>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Pr>
                <w:b/>
              </w:rPr>
              <w:t>Agreement</w:t>
            </w:r>
            <w:r>
              <w:rPr>
                <w:rFonts w:eastAsia="宋体"/>
                <w:b/>
                <w:bCs/>
                <w:szCs w:val="24"/>
              </w:rPr>
              <w:t xml:space="preserve"> </w:t>
            </w:r>
            <w:r>
              <w:rPr>
                <w:rFonts w:eastAsia="PMingLiU"/>
                <w:szCs w:val="24"/>
                <w:lang w:eastAsia="zh-TW"/>
              </w:rPr>
              <w:t>&gt;</w:t>
            </w:r>
            <w:r>
              <w:rPr>
                <w:rFonts w:eastAsia="宋体"/>
                <w:szCs w:val="24"/>
                <w:lang w:eastAsia="zh-CN"/>
              </w:rPr>
              <w:t>Conclude the issue in RAN4#114</w:t>
            </w:r>
          </w:p>
          <w:p>
            <w:pPr>
              <w:pStyle w:val="37"/>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(ZTE, Huawei): </w:t>
            </w:r>
          </w:p>
          <w:p>
            <w:pPr>
              <w:pStyle w:val="37"/>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Suggest not to introduce new test for Idle mode fast CA/DC eEMR measurement.</w:t>
            </w:r>
          </w:p>
          <w:p>
            <w:pPr>
              <w:pStyle w:val="37"/>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(CATT):</w:t>
            </w:r>
          </w:p>
          <w:p>
            <w:pPr>
              <w:pStyle w:val="37"/>
              <w:numPr>
                <w:ilvl w:val="2"/>
                <w:numId w:val="4"/>
              </w:numPr>
              <w:spacing w:after="120"/>
              <w:ind w:left="2376" w:firstLineChars="0"/>
              <w:textAlignment w:val="auto"/>
              <w:rPr>
                <w:rFonts w:eastAsia="MS Mincho"/>
                <w:lang w:eastAsia="en-US"/>
              </w:rPr>
            </w:pPr>
            <w:r>
              <w:t>RAN4 need to discuss if the understanding of ‘</w:t>
            </w:r>
            <w:r>
              <w:rPr>
                <w:highlight w:val="yellow"/>
              </w:rPr>
              <w:t>If a UE has already passed the test for R16 EMR and R18 EMR tests, no matter how the validity time of the measurement results is defined, the UE shall be able to complete valid reporting because its reporting function has been verified to be good</w:t>
            </w:r>
            <w:r>
              <w:t>’ is right.</w:t>
            </w:r>
          </w:p>
          <w:p>
            <w:pPr>
              <w:pStyle w:val="37"/>
              <w:numPr>
                <w:ilvl w:val="2"/>
                <w:numId w:val="4"/>
              </w:numPr>
              <w:spacing w:after="120"/>
              <w:ind w:left="2376" w:firstLineChars="0"/>
              <w:textAlignment w:val="auto"/>
            </w:pPr>
            <w:r>
              <w:t>If the above understanding is assumed, then the current R18 test cases design is enough.</w:t>
            </w:r>
          </w:p>
          <w:p>
            <w:pPr>
              <w:pStyle w:val="37"/>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(Nokia):</w:t>
            </w:r>
          </w:p>
          <w:p>
            <w:pPr>
              <w:pStyle w:val="37"/>
              <w:numPr>
                <w:ilvl w:val="2"/>
                <w:numId w:val="4"/>
              </w:numPr>
              <w:ind w:left="2376" w:firstLineChars="0"/>
              <w:textAlignment w:val="auto"/>
              <w:rPr>
                <w:rFonts w:eastAsia="MS Mincho"/>
                <w:lang w:eastAsia="en-US"/>
              </w:rPr>
            </w:pPr>
            <w:r>
              <w:t>Add Test case for Idle mode fast CA/DC eEMR measurement for FR1 with valid reporting.</w:t>
            </w:r>
          </w:p>
          <w:p>
            <w:pPr>
              <w:pStyle w:val="37"/>
              <w:widowControl/>
              <w:numPr>
                <w:ilvl w:val="-1"/>
                <w:numId w:val="0"/>
              </w:numPr>
              <w:spacing w:before="24" w:after="24" w:line="240" w:lineRule="auto"/>
              <w:ind w:left="0" w:firstLine="0" w:firstLineChars="0"/>
              <w:jc w:val="left"/>
              <w:rPr>
                <w:rFonts w:eastAsia="宋体"/>
                <w:sz w:val="20"/>
                <w:szCs w:val="20"/>
                <w:lang w:val="en-US"/>
              </w:rPr>
            </w:pPr>
          </w:p>
        </w:tc>
      </w:tr>
    </w:tbl>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default" w:eastAsiaTheme="minorEastAsia"/>
          <w:lang w:val="en-US" w:eastAsia="zh-CN"/>
        </w:rPr>
      </w:pPr>
      <w:r>
        <w:rPr>
          <w:rFonts w:hint="eastAsia" w:eastAsiaTheme="minorEastAsia"/>
          <w:lang w:val="en-US" w:eastAsia="zh-CN"/>
        </w:rPr>
        <w:t xml:space="preserve">For Improvement on SCell/SCG setup delay, we discussed in previous meetings and reached consensus that  defined three test cases to verify the UE behavior, one for EMR and two for non-EMR [2]. </w:t>
      </w:r>
    </w:p>
    <w:p>
      <w:pPr>
        <w:widowControl/>
        <w:spacing w:after="180"/>
        <w:jc w:val="left"/>
        <w:rPr>
          <w:rFonts w:ascii="Times New Roman" w:hAnsi="Times New Roman" w:eastAsia="宋体" w:cs="Times New Roman"/>
          <w:b/>
          <w:bCs/>
          <w:i/>
          <w:iCs/>
          <w:kern w:val="0"/>
          <w:sz w:val="21"/>
          <w:szCs w:val="20"/>
          <w:u w:val="single"/>
          <w:lang w:val="en-US" w:eastAsia="ko-KR"/>
        </w:rPr>
      </w:pPr>
      <w:r>
        <w:rPr>
          <w:rFonts w:ascii="Times New Roman" w:hAnsi="Times New Roman" w:eastAsia="宋体" w:cs="Times New Roman"/>
          <w:b/>
          <w:i/>
          <w:iCs/>
          <w:kern w:val="0"/>
          <w:sz w:val="21"/>
          <w:szCs w:val="20"/>
          <w:u w:val="single"/>
          <w:lang w:val="en-US" w:eastAsia="ko-KR"/>
        </w:rPr>
        <w:t>Issue 2-2: test purpose for solution based on existing measurement for validity check</w:t>
      </w:r>
    </w:p>
    <w:p>
      <w:pPr>
        <w:widowControl/>
        <w:spacing w:after="120"/>
        <w:jc w:val="left"/>
        <w:rPr>
          <w:rFonts w:ascii="Times New Roman" w:hAnsi="Times New Roman" w:eastAsia="宋体" w:cs="Times New Roman"/>
          <w:i/>
          <w:iCs/>
          <w:kern w:val="0"/>
          <w:sz w:val="21"/>
          <w:szCs w:val="20"/>
          <w:lang w:val="en-US" w:eastAsia="zh-CN"/>
        </w:rPr>
      </w:pPr>
      <w:r>
        <w:rPr>
          <w:rFonts w:ascii="Times New Roman" w:hAnsi="Times New Roman" w:eastAsia="宋体" w:cs="Times New Roman"/>
          <w:i/>
          <w:iCs/>
          <w:kern w:val="0"/>
          <w:sz w:val="21"/>
          <w:szCs w:val="20"/>
          <w:lang w:val="en-US" w:eastAsia="zh-CN"/>
        </w:rPr>
        <w:t>Agreement:</w:t>
      </w:r>
    </w:p>
    <w:p>
      <w:pPr>
        <w:numPr>
          <w:ilvl w:val="0"/>
          <w:numId w:val="4"/>
        </w:numPr>
        <w:overflowPunct w:val="0"/>
        <w:autoSpaceDE w:val="0"/>
        <w:autoSpaceDN w:val="0"/>
        <w:adjustRightInd w:val="0"/>
        <w:spacing w:after="120"/>
        <w:ind w:left="570" w:hanging="360" w:firstLineChars="0"/>
        <w:textAlignment w:val="baseline"/>
        <w:rPr>
          <w:rFonts w:ascii="Times New Roman" w:hAnsi="Times New Roman" w:eastAsia="MS Mincho" w:cs="Times New Roman"/>
          <w:i/>
          <w:iCs/>
          <w:highlight w:val="green"/>
          <w:lang w:val="en-US" w:eastAsia="en-US" w:bidi="ar-SA"/>
        </w:rPr>
      </w:pPr>
      <w:r>
        <w:rPr>
          <w:rFonts w:ascii="Times New Roman" w:hAnsi="Times New Roman" w:eastAsia="MS Mincho" w:cs="Times New Roman"/>
          <w:i/>
          <w:iCs/>
          <w:highlight w:val="green"/>
          <w:lang w:val="en-US" w:eastAsia="en-US" w:bidi="ar-SA"/>
        </w:rPr>
        <w:t>For EMR, TC will verify UE does not send measurement report which is measured exceeds X second before paging reception.</w:t>
      </w:r>
    </w:p>
    <w:p>
      <w:pPr>
        <w:numPr>
          <w:ilvl w:val="0"/>
          <w:numId w:val="4"/>
        </w:numPr>
        <w:overflowPunct w:val="0"/>
        <w:autoSpaceDE w:val="0"/>
        <w:autoSpaceDN w:val="0"/>
        <w:adjustRightInd w:val="0"/>
        <w:spacing w:after="120"/>
        <w:ind w:left="570" w:hanging="360" w:firstLineChars="0"/>
        <w:textAlignment w:val="baseline"/>
        <w:rPr>
          <w:rFonts w:ascii="Times New Roman" w:hAnsi="Times New Roman" w:eastAsia="MS Mincho" w:cs="Times New Roman"/>
          <w:i/>
          <w:iCs/>
          <w:highlight w:val="green"/>
          <w:lang w:val="en-US" w:eastAsia="en-US" w:bidi="ar-SA"/>
        </w:rPr>
      </w:pPr>
      <w:r>
        <w:rPr>
          <w:rFonts w:ascii="Times New Roman" w:hAnsi="Times New Roman" w:eastAsia="MS Mincho" w:cs="Times New Roman"/>
          <w:i/>
          <w:iCs/>
          <w:highlight w:val="green"/>
          <w:lang w:val="en-US" w:eastAsia="en-US" w:bidi="ar-SA"/>
        </w:rPr>
        <w:t>For non-EMR, TC will verify</w:t>
      </w:r>
    </w:p>
    <w:p>
      <w:pPr>
        <w:numPr>
          <w:ilvl w:val="1"/>
          <w:numId w:val="4"/>
        </w:numPr>
        <w:overflowPunct w:val="0"/>
        <w:autoSpaceDE w:val="0"/>
        <w:autoSpaceDN w:val="0"/>
        <w:adjustRightInd w:val="0"/>
        <w:spacing w:after="120"/>
        <w:ind w:left="780" w:hanging="360" w:firstLineChars="0"/>
        <w:textAlignment w:val="baseline"/>
        <w:rPr>
          <w:rFonts w:ascii="Times New Roman" w:hAnsi="Times New Roman" w:eastAsia="MS Mincho" w:cs="Times New Roman"/>
          <w:i/>
          <w:iCs/>
          <w:highlight w:val="green"/>
          <w:lang w:val="en-US" w:eastAsia="en-US" w:bidi="ar-SA"/>
        </w:rPr>
      </w:pPr>
      <w:r>
        <w:rPr>
          <w:rFonts w:ascii="Times New Roman" w:hAnsi="Times New Roman" w:eastAsia="MS Mincho" w:cs="Times New Roman"/>
          <w:i/>
          <w:iCs/>
          <w:highlight w:val="green"/>
          <w:lang w:val="en-US" w:eastAsia="en-US" w:bidi="ar-SA"/>
        </w:rPr>
        <w:t>UE send measurement report which is measured within X second before [paging reception].</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120" w:afterLines="-2147483648" w:line="240" w:lineRule="auto"/>
        <w:ind w:left="780" w:hanging="360"/>
        <w:textAlignment w:val="baseline"/>
        <w:rPr>
          <w:rFonts w:hint="eastAsia" w:eastAsiaTheme="minorEastAsia"/>
          <w:lang w:val="en-US" w:eastAsia="zh-CN"/>
        </w:rPr>
      </w:pPr>
      <w:r>
        <w:rPr>
          <w:rFonts w:ascii="Times New Roman" w:hAnsi="Times New Roman" w:eastAsia="MS Mincho" w:cs="Times New Roman"/>
          <w:i/>
          <w:iCs/>
          <w:highlight w:val="green"/>
          <w:lang w:val="en-US" w:eastAsia="en-US" w:bidi="ar-SA"/>
        </w:rPr>
        <w:t>UE does not send measurement report which is measured exceeds X second before [paging reception] if it is feasible for the testing.</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default" w:eastAsiaTheme="minorEastAsia"/>
          <w:lang w:val="en-US" w:eastAsia="zh-CN"/>
        </w:rPr>
      </w:pPr>
      <w:r>
        <w:rPr>
          <w:rFonts w:hint="eastAsia" w:eastAsiaTheme="minorEastAsia"/>
          <w:lang w:val="en-US" w:eastAsia="zh-CN"/>
        </w:rPr>
        <w:t>In our understanding, existing test cases are enough. For EMR, UE should pass the test case for reporting defined in Rel-16 and validity check defined in Rel-18. And similar cases also defined for non-EMR. As to the test case on reporting for non-EMR in Rel-18, it is because the consideration of cell reselection measurement results is a newly introduced feature in Rel-18 and has not been verified before. Differently, EMR has already completed testing on reporting in Rel-16, and we think it is not necessary to introduce testing on reporting for EMR.</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eastAsia" w:eastAsiaTheme="minorEastAsia"/>
          <w:b/>
          <w:bCs/>
          <w:lang w:val="en-US" w:eastAsia="zh-CN"/>
        </w:rPr>
      </w:pPr>
      <w:r>
        <w:rPr>
          <w:rFonts w:hint="eastAsia" w:eastAsiaTheme="minorEastAsia"/>
          <w:b/>
          <w:bCs/>
          <w:lang w:val="en-US" w:eastAsia="zh-CN"/>
        </w:rPr>
        <w:t>Observation 1: Different from non-EMR, EMR has already completed testing on reporting in Rel-16 and UE need to pass the test case defined in Rel-16 first.</w:t>
      </w:r>
    </w:p>
    <w:p>
      <w:pPr>
        <w:widowControl/>
        <w:rPr>
          <w:rFonts w:hint="default"/>
          <w:lang w:val="en-US" w:eastAsia="zh-CN"/>
        </w:rPr>
      </w:pPr>
      <w:r>
        <w:rPr>
          <w:rFonts w:hint="eastAsia" w:eastAsiaTheme="minorEastAsia"/>
          <w:b/>
          <w:bCs/>
          <w:lang w:val="en-US" w:eastAsia="zh-CN"/>
        </w:rPr>
        <w:t>Proposal 1: The</w:t>
      </w:r>
      <w:r>
        <w:rPr>
          <w:b/>
          <w:bCs/>
        </w:rPr>
        <w:t xml:space="preserve"> test cases with valid reporting for FR1 and FR2 </w:t>
      </w:r>
      <w:r>
        <w:rPr>
          <w:rFonts w:hint="eastAsia"/>
          <w:b/>
          <w:bCs/>
          <w:lang w:val="en-US" w:eastAsia="zh-CN"/>
        </w:rPr>
        <w:t xml:space="preserve">maybe not needed </w:t>
      </w:r>
      <w:r>
        <w:rPr>
          <w:b/>
          <w:bCs/>
        </w:rPr>
        <w:t>for the case when the UE is configured with EMR measurements</w:t>
      </w:r>
      <w:r>
        <w:rPr>
          <w:rFonts w:hint="eastAsia"/>
          <w:b/>
          <w:bCs/>
          <w:lang w:val="en-US" w:eastAsia="zh-CN"/>
        </w:rPr>
        <w:t>.</w:t>
      </w:r>
    </w:p>
    <w:p>
      <w:pPr>
        <w:pStyle w:val="58"/>
        <w:tabs>
          <w:tab w:val="left" w:pos="567"/>
          <w:tab w:val="clear" w:pos="1985"/>
        </w:tabs>
        <w:adjustRightInd w:val="0"/>
        <w:spacing w:before="0" w:beforeLines="0" w:after="0" w:afterLines="0"/>
        <w:ind w:left="510" w:hanging="510"/>
      </w:pPr>
      <w:r>
        <w:t>Conclusions</w:t>
      </w:r>
    </w:p>
    <w:p>
      <w:pPr>
        <w:numPr>
          <w:ilvl w:val="0"/>
          <w:numId w:val="0"/>
        </w:num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w:t>
      </w:r>
      <w:r>
        <w:rPr>
          <w:rFonts w:hint="eastAsia" w:cs="Times New Roman"/>
          <w:b w:val="0"/>
          <w:bCs w:val="0"/>
          <w:sz w:val="21"/>
          <w:szCs w:val="21"/>
          <w:lang w:val="en-US" w:eastAsia="zh-CN"/>
        </w:rPr>
        <w:t xml:space="preserve"> and observation</w:t>
      </w:r>
      <w:r>
        <w:rPr>
          <w:rFonts w:hint="default" w:ascii="Times New Roman" w:hAnsi="Times New Roman" w:cs="Times New Roman"/>
          <w:b w:val="0"/>
          <w:bCs w:val="0"/>
          <w:sz w:val="21"/>
          <w:szCs w:val="21"/>
        </w:rPr>
        <w:t xml:space="preserve"> on</w:t>
      </w:r>
      <w:r>
        <w:rPr>
          <w:rFonts w:hint="eastAsia" w:cs="Times New Roman"/>
          <w:b w:val="0"/>
          <w:bCs w:val="0"/>
          <w:sz w:val="21"/>
          <w:szCs w:val="21"/>
          <w:lang w:val="en-US" w:eastAsia="zh-CN"/>
        </w:rPr>
        <w:t xml:space="preserve"> improvement on SCell/SCG setup delay.</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eastAsia" w:eastAsiaTheme="minorEastAsia"/>
          <w:b/>
          <w:bCs/>
          <w:lang w:val="en-US" w:eastAsia="zh-CN"/>
        </w:rPr>
      </w:pPr>
      <w:r>
        <w:rPr>
          <w:rFonts w:hint="eastAsia" w:eastAsiaTheme="minorEastAsia"/>
          <w:b/>
          <w:bCs/>
          <w:lang w:val="en-US" w:eastAsia="zh-CN"/>
        </w:rPr>
        <w:t>Observation 1: Different from non-EMR, EMR has already completed testing on reporting in Rel-16 and UE need to pass the test case defined in Rel-16 first.</w:t>
      </w:r>
    </w:p>
    <w:p>
      <w:pPr>
        <w:widowControl/>
        <w:rPr>
          <w:rFonts w:hint="default"/>
          <w:lang w:val="en-US" w:eastAsia="zh-CN"/>
        </w:rPr>
      </w:pPr>
      <w:r>
        <w:rPr>
          <w:rFonts w:hint="eastAsia" w:eastAsiaTheme="minorEastAsia"/>
          <w:b/>
          <w:bCs/>
          <w:lang w:val="en-US" w:eastAsia="zh-CN"/>
        </w:rPr>
        <w:t>Proposal 1: The</w:t>
      </w:r>
      <w:r>
        <w:rPr>
          <w:b/>
          <w:bCs/>
        </w:rPr>
        <w:t xml:space="preserve"> test cases with valid reporting for FR1 and FR2 </w:t>
      </w:r>
      <w:r>
        <w:rPr>
          <w:rFonts w:hint="eastAsia"/>
          <w:b/>
          <w:bCs/>
          <w:lang w:val="en-US" w:eastAsia="zh-CN"/>
        </w:rPr>
        <w:t xml:space="preserve">maybe not needed </w:t>
      </w:r>
      <w:r>
        <w:rPr>
          <w:b/>
          <w:bCs/>
        </w:rPr>
        <w:t>for the case when the UE is configured with EMR measurements</w:t>
      </w:r>
      <w:r>
        <w:rPr>
          <w:rFonts w:hint="eastAsia"/>
          <w:b/>
          <w:bCs/>
          <w:lang w:val="en-US" w:eastAsia="zh-CN"/>
        </w:rPr>
        <w:t>.</w:t>
      </w:r>
    </w:p>
    <w:p>
      <w:pPr>
        <w:pStyle w:val="58"/>
        <w:tabs>
          <w:tab w:val="left" w:pos="567"/>
          <w:tab w:val="clear" w:pos="1985"/>
        </w:tabs>
        <w:adjustRightInd w:val="0"/>
        <w:spacing w:before="0" w:beforeLines="0" w:after="0" w:afterLines="0"/>
        <w:ind w:left="510" w:hanging="510"/>
      </w:pPr>
      <w:r>
        <w:t>References</w:t>
      </w:r>
    </w:p>
    <w:p>
      <w:pPr>
        <w:pStyle w:val="56"/>
        <w:widowControl/>
        <w:numPr>
          <w:ilvl w:val="0"/>
          <w:numId w:val="5"/>
        </w:numPr>
        <w:spacing w:before="0" w:beforeLines="0" w:after="157" w:afterLines="50"/>
        <w:jc w:val="left"/>
        <w:rPr>
          <w:rFonts w:hint="default"/>
          <w:sz w:val="21"/>
          <w:szCs w:val="21"/>
          <w:lang w:val="en-US" w:eastAsia="zh-CN"/>
        </w:rPr>
      </w:pPr>
      <w:r>
        <w:rPr>
          <w:rFonts w:hint="default"/>
          <w:sz w:val="21"/>
          <w:szCs w:val="21"/>
          <w:lang w:val="en-US" w:eastAsia="zh-CN"/>
        </w:rPr>
        <w:t>R4-</w:t>
      </w:r>
      <w:r>
        <w:rPr>
          <w:rFonts w:hint="default"/>
          <w:lang w:val="en-US" w:eastAsia="zh-CN"/>
        </w:rPr>
        <w:t>2</w:t>
      </w:r>
      <w:r>
        <w:rPr>
          <w:rFonts w:hint="eastAsia"/>
          <w:lang w:val="en-US" w:eastAsia="zh-CN"/>
        </w:rPr>
        <w:t>420234,</w:t>
      </w:r>
      <w:r>
        <w:rPr>
          <w:rFonts w:hint="eastAsia"/>
          <w:sz w:val="21"/>
          <w:szCs w:val="21"/>
          <w:lang w:val="en-US" w:eastAsia="zh-CN"/>
        </w:rPr>
        <w:t xml:space="preserve"> WF on Further NR mobility enhancements, MediaTek</w:t>
      </w:r>
    </w:p>
    <w:p>
      <w:pPr>
        <w:pStyle w:val="56"/>
        <w:numPr>
          <w:ilvl w:val="0"/>
          <w:numId w:val="5"/>
        </w:numPr>
        <w:spacing w:beforeLines="0" w:after="157" w:afterLines="50"/>
        <w:rPr>
          <w:bCs/>
          <w:sz w:val="21"/>
          <w:szCs w:val="21"/>
        </w:rPr>
      </w:pPr>
      <w:r>
        <w:rPr>
          <w:rFonts w:hint="default"/>
          <w:sz w:val="21"/>
          <w:szCs w:val="21"/>
          <w:lang w:val="en-US" w:eastAsia="zh-CN"/>
        </w:rPr>
        <w:t>R4-24</w:t>
      </w:r>
      <w:r>
        <w:rPr>
          <w:rFonts w:hint="eastAsia"/>
          <w:sz w:val="21"/>
          <w:szCs w:val="21"/>
          <w:lang w:val="en-US" w:eastAsia="zh-CN"/>
        </w:rPr>
        <w:t>10280, WF on R18 Further NR mobility enhancement - part 2, Apple</w:t>
      </w:r>
    </w:p>
    <w:p>
      <w:pPr>
        <w:pStyle w:val="22"/>
        <w:shd w:val="clear" w:color="auto" w:fill="FFFFFF"/>
        <w:spacing w:before="0" w:beforeLines="0" w:beforeAutospacing="0" w:after="0" w:afterLines="0" w:afterAutospacing="0" w:line="300" w:lineRule="atLeast"/>
        <w:rPr>
          <w:rStyle w:val="30"/>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84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6"/>
      <w:lvlText w:val=""/>
      <w:lvlJc w:val="left"/>
      <w:pPr>
        <w:tabs>
          <w:tab w:val="left" w:pos="1619"/>
        </w:tabs>
        <w:ind w:left="570"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6F5686"/>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933D3"/>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1891"/>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0A94"/>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1D2DFA"/>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CF7035B"/>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87D20"/>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252EC"/>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8498D"/>
    <w:rsid w:val="3C0A6564"/>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24924"/>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8E0A56"/>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E9784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C14C38"/>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CF3C7C"/>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B5686"/>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8F687F"/>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74B91"/>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4C778B"/>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EC176D"/>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1"/>
    <w:next w:val="1"/>
    <w:link w:val="68"/>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4"/>
    <w:qFormat/>
    <w:uiPriority w:val="0"/>
    <w:pPr>
      <w:widowControl/>
      <w:spacing w:before="152" w:after="160"/>
    </w:pPr>
    <w:rPr>
      <w:rFonts w:ascii="Arial" w:hAnsi="Arial" w:eastAsia="黑体"/>
      <w:kern w:val="0"/>
      <w:sz w:val="20"/>
      <w:szCs w:val="20"/>
    </w:rPr>
  </w:style>
  <w:style w:type="paragraph" w:styleId="15">
    <w:name w:val="Document Map"/>
    <w:basedOn w:val="1"/>
    <w:link w:val="82"/>
    <w:unhideWhenUsed/>
    <w:qFormat/>
    <w:uiPriority w:val="99"/>
    <w:rPr>
      <w:rFonts w:ascii="宋体"/>
      <w:kern w:val="0"/>
      <w:sz w:val="18"/>
      <w:szCs w:val="18"/>
    </w:rPr>
  </w:style>
  <w:style w:type="paragraph" w:styleId="16">
    <w:name w:val="annotation text"/>
    <w:basedOn w:val="1"/>
    <w:link w:val="91"/>
    <w:unhideWhenUsed/>
    <w:qFormat/>
    <w:uiPriority w:val="99"/>
    <w:rPr>
      <w:sz w:val="20"/>
      <w:szCs w:val="20"/>
    </w:rPr>
  </w:style>
  <w:style w:type="paragraph" w:styleId="17">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4"/>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4"/>
    <w:basedOn w:val="11"/>
    <w:qFormat/>
    <w:uiPriority w:val="0"/>
    <w:pPr>
      <w:ind w:left="1418"/>
    </w:p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4">
    <w:name w:val="annotation subject"/>
    <w:basedOn w:val="16"/>
    <w:next w:val="16"/>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character" w:customStyle="1" w:styleId="34">
    <w:name w:val="批注框文本 Char"/>
    <w:link w:val="18"/>
    <w:semiHidden/>
    <w:qFormat/>
    <w:uiPriority w:val="99"/>
    <w:rPr>
      <w:kern w:val="2"/>
      <w:sz w:val="18"/>
      <w:szCs w:val="18"/>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0"/>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3"/>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Char"/>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Char"/>
    <w:link w:val="9"/>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Char"/>
    <w:link w:val="10"/>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Char"/>
    <w:link w:val="14"/>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9"/>
    <w:qFormat/>
    <w:uiPriority w:val="0"/>
    <w:rPr>
      <w:rFonts w:ascii="Arial" w:hAnsi="Arial" w:eastAsia="Times New Roman" w:cs="Times New Roman"/>
      <w:kern w:val="0"/>
      <w:sz w:val="18"/>
      <w:szCs w:val="20"/>
      <w:lang w:val="en-GB" w:eastAsia="ja-JP"/>
    </w:rPr>
  </w:style>
  <w:style w:type="character" w:customStyle="1" w:styleId="79">
    <w:name w:val="标题 4 Char"/>
    <w:link w:val="5"/>
    <w:qFormat/>
    <w:uiPriority w:val="0"/>
    <w:rPr>
      <w:rFonts w:ascii="Arial" w:hAnsi="Arial" w:eastAsia="宋体"/>
      <w:sz w:val="24"/>
      <w:lang w:val="en-GB" w:eastAsia="en-US"/>
    </w:rPr>
  </w:style>
  <w:style w:type="character" w:customStyle="1" w:styleId="80">
    <w:name w:val="char char char Char"/>
    <w:link w:val="42"/>
    <w:qFormat/>
    <w:uiPriority w:val="0"/>
    <w:rPr>
      <w:rFonts w:ascii="Arial" w:hAnsi="Arial" w:eastAsia="宋体" w:cs="Times New Roman"/>
      <w:kern w:val="0"/>
      <w:sz w:val="24"/>
      <w:szCs w:val="28"/>
    </w:rPr>
  </w:style>
  <w:style w:type="character" w:customStyle="1" w:styleId="81">
    <w:name w:val="页眉 Char"/>
    <w:link w:val="20"/>
    <w:qFormat/>
    <w:uiPriority w:val="99"/>
    <w:rPr>
      <w:sz w:val="18"/>
      <w:szCs w:val="18"/>
    </w:rPr>
  </w:style>
  <w:style w:type="character" w:customStyle="1" w:styleId="82">
    <w:name w:val="文档结构图 Char"/>
    <w:link w:val="15"/>
    <w:semiHidden/>
    <w:qFormat/>
    <w:uiPriority w:val="99"/>
    <w:rPr>
      <w:rFonts w:ascii="宋体" w:eastAsia="宋体"/>
      <w:sz w:val="18"/>
      <w:szCs w:val="18"/>
    </w:rPr>
  </w:style>
  <w:style w:type="character" w:customStyle="1" w:styleId="83">
    <w:name w:val="标题 7 Char"/>
    <w:link w:val="8"/>
    <w:qFormat/>
    <w:uiPriority w:val="0"/>
    <w:rPr>
      <w:rFonts w:ascii="Arial" w:hAnsi="Arial" w:eastAsia="宋体"/>
      <w:lang w:val="en-GB" w:eastAsia="en-US"/>
    </w:rPr>
  </w:style>
  <w:style w:type="character" w:customStyle="1" w:styleId="84">
    <w:name w:val="标题 1 Char"/>
    <w:link w:val="2"/>
    <w:qFormat/>
    <w:uiPriority w:val="9"/>
    <w:rPr>
      <w:rFonts w:ascii="Cambria" w:hAnsi="Cambria" w:eastAsia="宋体" w:cs="Times New Roman"/>
      <w:b/>
      <w:bCs/>
      <w:kern w:val="32"/>
      <w:sz w:val="32"/>
      <w:szCs w:val="32"/>
      <w:lang w:val="en-US"/>
    </w:rPr>
  </w:style>
  <w:style w:type="character" w:customStyle="1" w:styleId="85">
    <w:name w:val="页脚 Char"/>
    <w:link w:val="19"/>
    <w:qFormat/>
    <w:uiPriority w:val="99"/>
    <w:rPr>
      <w:sz w:val="18"/>
      <w:szCs w:val="18"/>
    </w:rPr>
  </w:style>
  <w:style w:type="character" w:customStyle="1" w:styleId="86">
    <w:name w:val="批注主题 Char"/>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Char"/>
    <w:link w:val="3"/>
    <w:qFormat/>
    <w:uiPriority w:val="0"/>
    <w:rPr>
      <w:rFonts w:ascii="Arial" w:hAnsi="Arial"/>
      <w:sz w:val="32"/>
      <w:lang w:eastAsia="en-US"/>
    </w:rPr>
  </w:style>
  <w:style w:type="character" w:customStyle="1" w:styleId="89">
    <w:name w:val="标题 5 Char"/>
    <w:link w:val="6"/>
    <w:qFormat/>
    <w:uiPriority w:val="0"/>
    <w:rPr>
      <w:rFonts w:ascii="Arial" w:hAnsi="Arial" w:eastAsia="宋体"/>
      <w:sz w:val="22"/>
      <w:lang w:val="en-GB" w:eastAsia="en-US"/>
    </w:rPr>
  </w:style>
  <w:style w:type="character" w:customStyle="1" w:styleId="90">
    <w:name w:val="标题 3 Char"/>
    <w:link w:val="4"/>
    <w:qFormat/>
    <w:uiPriority w:val="0"/>
    <w:rPr>
      <w:rFonts w:ascii="Arial" w:hAnsi="Arial"/>
      <w:sz w:val="28"/>
      <w:lang w:eastAsia="en-US"/>
    </w:rPr>
  </w:style>
  <w:style w:type="character" w:customStyle="1" w:styleId="91">
    <w:name w:val="批注文字 Char"/>
    <w:link w:val="16"/>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7"/>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paragraph" w:customStyle="1" w:styleId="96">
    <w:name w:val="Agreement"/>
    <w:basedOn w:val="1"/>
    <w:next w:val="97"/>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7">
    <w:name w:val="Doc-text2"/>
    <w:basedOn w:val="1"/>
    <w:qFormat/>
    <w:uiPriority w:val="0"/>
    <w:pPr>
      <w:tabs>
        <w:tab w:val="left" w:pos="1622"/>
      </w:tabs>
      <w:ind w:left="1622" w:hanging="363"/>
    </w:pPr>
    <w:rPr>
      <w:rFonts w:ascii="Arial" w:hAnsi="Arial" w:eastAsia="MS Mincho"/>
      <w:sz w:val="20"/>
      <w:lang w:eastAsia="en-GB"/>
    </w:rPr>
  </w:style>
  <w:style w:type="paragraph" w:customStyle="1" w:styleId="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9">
    <w:name w:val="RAN4 proposal"/>
    <w:basedOn w:val="14"/>
    <w:next w:val="1"/>
    <w:qFormat/>
    <w:uiPriority w:val="0"/>
    <w:pPr>
      <w:numPr>
        <w:ilvl w:val="0"/>
        <w:numId w:val="3"/>
      </w:numPr>
      <w:jc w:val="left"/>
    </w:pPr>
    <w:rPr>
      <w:rFonts w:ascii="Times New Roman" w:hAnsi="Times New Roman"/>
      <w:sz w:val="20"/>
    </w:rPr>
  </w:style>
  <w:style w:type="character" w:customStyle="1" w:styleId="100">
    <w:name w:val="ui-provider"/>
    <w:basedOn w:val="27"/>
    <w:qFormat/>
    <w:uiPriority w:val="0"/>
  </w:style>
  <w:style w:type="paragraph" w:customStyle="1" w:styleId="10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2">
    <w:name w:val="B3"/>
    <w:basedOn w:val="11"/>
    <w:qFormat/>
    <w:uiPriority w:val="0"/>
  </w:style>
  <w:style w:type="paragraph" w:customStyle="1" w:styleId="103">
    <w:name w:val="B4"/>
    <w:basedOn w:val="21"/>
    <w:qFormat/>
    <w:uiPriority w:val="0"/>
  </w:style>
  <w:style w:type="paragraph" w:customStyle="1" w:styleId="104">
    <w:name w:val="B2"/>
    <w:basedOn w:val="12"/>
    <w:qFormat/>
    <w:uiPriority w:val="0"/>
  </w:style>
  <w:style w:type="character" w:customStyle="1" w:styleId="105">
    <w:name w:val="normaltextrun"/>
    <w:basedOn w:val="2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11</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2025-02-07T08:19:15Z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319BCE9474034ADBBAB4332746D6B895</vt:lpwstr>
  </property>
</Properties>
</file>